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36C02">
      <w:pPr>
        <w:spacing w:line="570" w:lineRule="exact"/>
        <w:jc w:val="center"/>
        <w:rPr>
          <w:rFonts w:ascii="华文中宋" w:hAnsi="华文中宋" w:eastAsia="华文中宋" w:cs="宋体"/>
          <w:b/>
          <w:kern w:val="0"/>
          <w:sz w:val="52"/>
          <w:szCs w:val="52"/>
        </w:rPr>
      </w:pPr>
    </w:p>
    <w:p w14:paraId="5DDD6A8D">
      <w:pPr>
        <w:spacing w:line="570" w:lineRule="exact"/>
        <w:jc w:val="center"/>
        <w:rPr>
          <w:rFonts w:ascii="华文中宋" w:hAnsi="华文中宋" w:eastAsia="华文中宋" w:cs="宋体"/>
          <w:b/>
          <w:kern w:val="0"/>
          <w:sz w:val="52"/>
          <w:szCs w:val="52"/>
        </w:rPr>
      </w:pPr>
    </w:p>
    <w:p w14:paraId="278C3B42">
      <w:pPr>
        <w:spacing w:line="570" w:lineRule="exact"/>
        <w:jc w:val="center"/>
        <w:rPr>
          <w:rFonts w:ascii="华文中宋" w:hAnsi="华文中宋" w:eastAsia="华文中宋" w:cs="宋体"/>
          <w:b/>
          <w:kern w:val="0"/>
          <w:sz w:val="52"/>
          <w:szCs w:val="52"/>
        </w:rPr>
      </w:pPr>
    </w:p>
    <w:p w14:paraId="6533B596">
      <w:pPr>
        <w:spacing w:line="570" w:lineRule="exact"/>
        <w:jc w:val="center"/>
        <w:rPr>
          <w:rFonts w:ascii="华文中宋" w:hAnsi="华文中宋" w:eastAsia="华文中宋" w:cs="宋体"/>
          <w:b/>
          <w:kern w:val="0"/>
          <w:sz w:val="52"/>
          <w:szCs w:val="52"/>
        </w:rPr>
      </w:pPr>
    </w:p>
    <w:p w14:paraId="034954F2">
      <w:pPr>
        <w:spacing w:line="570" w:lineRule="exact"/>
        <w:jc w:val="both"/>
        <w:rPr>
          <w:rFonts w:ascii="华文中宋" w:hAnsi="华文中宋" w:eastAsia="华文中宋" w:cs="宋体"/>
          <w:b/>
          <w:kern w:val="0"/>
          <w:sz w:val="52"/>
          <w:szCs w:val="52"/>
        </w:rPr>
      </w:pPr>
    </w:p>
    <w:p w14:paraId="7DA03550">
      <w:pPr>
        <w:spacing w:line="570" w:lineRule="exact"/>
        <w:jc w:val="center"/>
        <w:rPr>
          <w:rFonts w:ascii="华文中宋" w:hAnsi="华文中宋" w:eastAsia="华文中宋" w:cs="宋体"/>
          <w:b/>
          <w:kern w:val="0"/>
          <w:sz w:val="52"/>
          <w:szCs w:val="52"/>
        </w:rPr>
      </w:pPr>
    </w:p>
    <w:p w14:paraId="53AE5C0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136CC585">
      <w:pPr>
        <w:spacing w:line="570" w:lineRule="exact"/>
        <w:jc w:val="center"/>
        <w:rPr>
          <w:rFonts w:ascii="华文中宋" w:hAnsi="华文中宋" w:eastAsia="华文中宋" w:cs="宋体"/>
          <w:b/>
          <w:kern w:val="0"/>
          <w:sz w:val="52"/>
          <w:szCs w:val="52"/>
        </w:rPr>
      </w:pPr>
    </w:p>
    <w:p w14:paraId="61EC4128">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D8D4026">
      <w:pPr>
        <w:spacing w:line="570" w:lineRule="exact"/>
        <w:jc w:val="center"/>
        <w:rPr>
          <w:rFonts w:hAnsi="宋体" w:eastAsia="仿宋_GB2312" w:cs="宋体"/>
          <w:kern w:val="0"/>
          <w:sz w:val="30"/>
          <w:szCs w:val="30"/>
        </w:rPr>
      </w:pPr>
    </w:p>
    <w:p w14:paraId="07928173">
      <w:pPr>
        <w:spacing w:line="570" w:lineRule="exact"/>
        <w:jc w:val="center"/>
        <w:rPr>
          <w:rFonts w:hAnsi="宋体" w:eastAsia="仿宋_GB2312" w:cs="宋体"/>
          <w:kern w:val="0"/>
          <w:sz w:val="30"/>
          <w:szCs w:val="30"/>
        </w:rPr>
      </w:pPr>
    </w:p>
    <w:p w14:paraId="66A0AF8B">
      <w:pPr>
        <w:spacing w:line="570" w:lineRule="exact"/>
        <w:jc w:val="center"/>
        <w:rPr>
          <w:rFonts w:hAnsi="宋体" w:eastAsia="仿宋_GB2312" w:cs="宋体"/>
          <w:kern w:val="0"/>
          <w:sz w:val="30"/>
          <w:szCs w:val="30"/>
        </w:rPr>
      </w:pPr>
    </w:p>
    <w:p w14:paraId="6DD18EFA">
      <w:pPr>
        <w:spacing w:line="570" w:lineRule="exact"/>
        <w:jc w:val="center"/>
        <w:rPr>
          <w:rFonts w:hAnsi="宋体" w:eastAsia="仿宋_GB2312" w:cs="宋体"/>
          <w:kern w:val="0"/>
          <w:sz w:val="30"/>
          <w:szCs w:val="30"/>
        </w:rPr>
      </w:pPr>
    </w:p>
    <w:p w14:paraId="5800CD18">
      <w:pPr>
        <w:spacing w:line="570" w:lineRule="exact"/>
        <w:jc w:val="center"/>
        <w:rPr>
          <w:rFonts w:hAnsi="宋体" w:eastAsia="仿宋_GB2312" w:cs="宋体"/>
          <w:kern w:val="0"/>
          <w:sz w:val="30"/>
          <w:szCs w:val="30"/>
        </w:rPr>
      </w:pPr>
    </w:p>
    <w:p w14:paraId="4D8C35FA">
      <w:pPr>
        <w:spacing w:line="570" w:lineRule="exact"/>
        <w:jc w:val="center"/>
        <w:rPr>
          <w:rFonts w:hAnsi="宋体" w:eastAsia="仿宋_GB2312" w:cs="宋体"/>
          <w:kern w:val="0"/>
          <w:sz w:val="30"/>
          <w:szCs w:val="30"/>
        </w:rPr>
      </w:pPr>
    </w:p>
    <w:p w14:paraId="4D221A7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2021年中央医疗服务与保障能力提升（公立医院综合改革）补助</w:t>
      </w:r>
    </w:p>
    <w:p w14:paraId="5F78F6DF">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克州人民医院</w:t>
      </w:r>
    </w:p>
    <w:p w14:paraId="031642AE">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克州卫</w:t>
      </w:r>
      <w:r>
        <w:rPr>
          <w:rStyle w:val="18"/>
          <w:rFonts w:hint="eastAsia" w:ascii="仿宋" w:hAnsi="仿宋" w:eastAsia="仿宋" w:cs="仿宋"/>
          <w:b w:val="0"/>
          <w:bCs w:val="0"/>
          <w:spacing w:val="-4"/>
          <w:sz w:val="32"/>
          <w:szCs w:val="32"/>
          <w:lang w:val="en-US" w:eastAsia="zh-CN"/>
        </w:rPr>
        <w:t>健</w:t>
      </w:r>
      <w:bookmarkStart w:id="0" w:name="_GoBack"/>
      <w:bookmarkEnd w:id="0"/>
      <w:r>
        <w:rPr>
          <w:rStyle w:val="18"/>
          <w:rFonts w:hint="eastAsia" w:ascii="仿宋" w:hAnsi="仿宋" w:eastAsia="仿宋" w:cs="仿宋"/>
          <w:b w:val="0"/>
          <w:bCs w:val="0"/>
          <w:spacing w:val="-4"/>
          <w:sz w:val="32"/>
          <w:szCs w:val="32"/>
        </w:rPr>
        <w:t>委</w:t>
      </w:r>
    </w:p>
    <w:p w14:paraId="0156E5E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单泽昊</w:t>
      </w:r>
    </w:p>
    <w:p w14:paraId="053EDFC7">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2022年04月26日</w:t>
      </w:r>
    </w:p>
    <w:p w14:paraId="7F3598D1">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70170C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168FB9A">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0D92D4F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提高预算完整性，加快支出进度、根据《关于提前下达2021年中央医疗服务与保障能力提升（公立医院综合改革）补助资金预算的通知》（新财社【2020】264号）文件，按照《关于印发基本公共卫生服务等5项补助资金管理办法的通知》（新财规【2020】7号）文件《医疗服务与保障能力提升补助资金管理办法》的规定，专项用于推进公立医院综合改革，建立健全现代医院管理制度，协调推进医疗价格，人事薪酬，药品物流，医保支付改革，提高医疗卫生服务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深化公立医院综合改革，建立健全现代医院管理制度，协调推进医疗价格，人事薪酬，药品物流，医保支付改革，提高医疗卫生服务质量。减轻医院药品采购压力、医院资金周转压力,已采购药品40种，药品数量6.5万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人民医院是自治州唯一一所集医疗、教学、科研、预防、保健、康复、急救为一体的三级甲等医院。编制床位1500张。现有在岗职工1492人，卫生技术人员1239人，其中高级职称33人。医院成立了单独的科教科进行科研工作管理，在江苏医疗组团援疆的支持下，医院科研实力得到了很大发展，成立了新疆地区唯一的柯尔克孜族医学研究所，获批自治区级重点专科五个：呼吸科、普外科、泌尿外科、产科、临床药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新财社【2020】264号共安排下达资金341万元，为财政资金，最终确定项目资金总数为341万元。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截至2021年12月31日，实际支出341万元，预算执行率100%。</w:t>
      </w:r>
    </w:p>
    <w:p w14:paraId="78A6E4C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78B1538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深化公立医院综合改革，建立健全现代医院管理制度，协调推进医疗价格，人事薪酬，药品物流，医保支付改革，提高医疗卫生服务质量。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“公立医院医疗服务收入（不含药品，耗材，检查，化验收入）占医疗收入的比例”指标，预期指标值为≥29.8%。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“采购药品种类”指标，预期指标值为≥42种。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“采购药品数量（支）”指标，预期指标值为≥65505支。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“药品验收合格率（%）”指标，预期指标值为=100%；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“项目完成时间”指标，预期指标值为2021年12月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“药品采购总成本（万元）”指标，预期指标值为≤341万元。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“减轻医院药品开支压力”指标，预期指标值为有所减轻。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“三级公立医院门诊人次数与出院人次数比”指标，预期指标值为较上年降低；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“实现收支平衡的公立医院占公立医院总数的比例”指标，预期指标值为≥76.78%；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“公立医院职工满意度(%)”指标，预期指标值为≥95%；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“公立医院门诊患者满意度(%)”指标，预期指标值为≥95%；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“公立医院住院患者满意度(%)”指标，预期指标值为≥95%</w:t>
      </w:r>
    </w:p>
    <w:p w14:paraId="733B413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0C2F6A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772AA52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223E3E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3DD2CB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C98738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AB2632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单泽浩任评价组组长，职务为医务部主任，绩效评价工作职责为负责全盘工作。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白明堂任评价组副组长，绩效评价工作职责为对项目实施情况进行实地调查。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杨凡杰任评价组成员，绩效评价工作职责为负责资料审核等工作。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0B29AD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F4A971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2021年中央医疗服务与保障能力提升补助资金”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深化公立医院综合改革，建立健全现代医院管理制度，协调推进医疗价格，人事薪酬，药品物流，医保支付改革，提高医疗卫生服务质量。减轻医院药品采购压力、医院资金周转压力。</w:t>
      </w:r>
    </w:p>
    <w:p w14:paraId="6F753155">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D242DF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52A3887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关于提前下达2021年中央医疗服务与保障能力提升（公立医院综合改革）补助资金预算的通知》（新财社【2020】264号）文件，按照《关于印发基本公共卫生服务等5项补助资金管理办法的通知》（新财规【2020】7号）文件《医疗服务与保障能力提升补助资金管理办法》并结合克州人民医院单位职责职责，并组织实施。围绕克州人民医院单位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（2）立项程序规范性：根据决策依据编制工作计划和经费预算，经过与临床科室进行沟通、筛选确定经费预算计划，上党组会研究确定最终预算方案，根据评分标准，该指标不扣分，得2分。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关于提前下达2021年中央医疗服务与保障能力提升（公立医院综合改革）补助资金预算的通知》（新财社【2020】264号）文件，按照《关于印发基本公共卫生服务等5项补助资金管理办法的通知》（新财规【2020】7号）文件《医疗服务与保障能力提升补助资金管理办法》资金分配与实际相适应，根据评分标准，该指标不扣分，得5分。</w:t>
      </w:r>
    </w:p>
    <w:p w14:paraId="7671E3D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962CB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根据自治州财政局下达《关于提前下达2021年中央医疗服务与保障能力提升（公立医院综合改革）补助资金预算的通知》（新财社【2020】264号）文件，按照《关于印发基本公共卫生服务等5项补助资金管理办法的通知》（新财规【2020】7号）文件《医疗服务与保障能力提升补助资金管理办法》的规定，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（4）管理制度健全性：制定了克州人民医院单位相关管理办法，对财政专项资金进行严格管理，基本做到了专款专用，根据评分标准，该指标不扣分，得2分。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临床科室沟通后，报党组会议研究执行，财务对资金的使用合法合规性进行监督，年底对资金使用效果进行自评，根据评分标准，该指标不扣分，得3分。</w:t>
      </w:r>
    </w:p>
    <w:p w14:paraId="4E12F86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15E908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公立医院医疗服务收入（不含药品，耗材，检查，化验收入）占医疗收入的比例29.8%，与预期目标不一致，根据评分标准，该指标扣分，得4分。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采购药品种类42种，与预期目标一致，根据评分标准，该指标不扣分，得3分。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采购药品数量65505支，与预期目标一致，根据评分标准，该指标不扣分，得3分。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药品验收合格率100%，与预期目标一致，根据评分标准，该指标不扣分，得10分。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项目完成时间2021年12月，与预期目标指标一致，根据评分标准，该指标不扣分，得5分。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该项目药品采购总成本本年支出金额341万元，项目经费能够控制在绩效目标范围内，根据评分标准，该指标不扣分，得10分。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3E35651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985449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三级公立医院门诊人次数与出院人次数比，与预期指标一致，根据评分标准，该指标不扣分，得4分。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实现收支平衡的公立医院占公立医院总数的比例，与预期指标一致，根据评分标准，该指标不扣分，得3分。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减轻医院药品开支压力，与预期指标一致，根据评分标准，该指标不扣分，得3分。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对于“满意度指标：公立医院职工满意度95%，与预期目标一致，根据评分标准，该指标不扣分,得4分。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对于“满意度指标：公立医院门诊患者满意度95%，与预期目标一致，根据评分标准，该指标不扣分,得3分。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对于“满意度指标：公立医院住院患者满意度95%，与预期目标一致，根据评分标准，该指标不扣分,得3分。</w:t>
      </w:r>
    </w:p>
    <w:p w14:paraId="2CC6476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7512A31">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预算341万元，到位341万元，实际支出341万元，预算执行率为100%，项目绩效指标总体完成率为100%，偏差率为0%。</w:t>
      </w:r>
    </w:p>
    <w:p w14:paraId="4CF9DBA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56420EB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二是加强组织领导，本项目绩效评价工作，分管院长亲自负责，医务部主任单泽浩具体负责，从项目到资金，均能后很好的执行。三是加强沟通协调，我单位及时向上级部门汇报项目进度，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7FAD27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5B12F4E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6FB51F0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6E8CFC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EBCC481">
        <w:pPr>
          <w:pStyle w:val="12"/>
          <w:jc w:val="center"/>
        </w:pPr>
        <w:r>
          <w:fldChar w:fldCharType="begin"/>
        </w:r>
        <w:r>
          <w:instrText xml:space="preserve">PAGE   \* MERGEFORMAT</w:instrText>
        </w:r>
        <w:r>
          <w:fldChar w:fldCharType="separate"/>
        </w:r>
        <w:r>
          <w:rPr>
            <w:lang w:val="zh-CN"/>
          </w:rPr>
          <w:t>1</w:t>
        </w:r>
        <w:r>
          <w:fldChar w:fldCharType="end"/>
        </w:r>
      </w:p>
    </w:sdtContent>
  </w:sdt>
  <w:p w14:paraId="7094266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9DC5B83"/>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6652</Words>
  <Characters>6913</Characters>
  <Lines>5</Lines>
  <Paragraphs>1</Paragraphs>
  <TotalTime>35</TotalTime>
  <ScaleCrop>false</ScaleCrop>
  <LinksUpToDate>false</LinksUpToDate>
  <CharactersWithSpaces>7155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2024-11-28T09:11:51Z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59056312607847E69D6E2B0FEEC0EF67_12</vt:lpwstr>
  </property>
</Properties>
</file>